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-1080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576"/>
        <w:gridCol w:w="5512"/>
      </w:tblGrid>
      <w:tr w:rsidR="00133291" w:rsidRPr="0028097E">
        <w:trPr>
          <w:trHeight w:val="2160"/>
        </w:trPr>
        <w:tc>
          <w:tcPr>
            <w:tcW w:w="5576" w:type="dxa"/>
            <w:tcBorders>
              <w:top w:val="nil"/>
              <w:bottom w:val="nil"/>
            </w:tcBorders>
          </w:tcPr>
          <w:p w:rsidR="00133291" w:rsidRDefault="00133291" w:rsidP="00271EA4">
            <w:pPr>
              <w:spacing w:before="2" w:after="2"/>
            </w:pPr>
            <w:r>
              <w:rPr>
                <w:noProof/>
              </w:rPr>
              <w:drawing>
                <wp:inline distT="0" distB="0" distL="0" distR="0">
                  <wp:extent cx="3371088" cy="908304"/>
                  <wp:effectExtent l="25400" t="0" r="7112" b="0"/>
                  <wp:docPr id="4" name="Picture 1" descr="CARD_AAAA_Name_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D_AAAA_Name_Only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088" cy="90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tcBorders>
              <w:top w:val="nil"/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4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4230"/>
            </w:tblGrid>
            <w:tr w:rsidR="00133291">
              <w:tc>
                <w:tcPr>
                  <w:tcW w:w="719" w:type="dxa"/>
                </w:tcPr>
                <w:p w:rsidR="00133291" w:rsidRDefault="00133291" w:rsidP="00271EA4">
                  <w:pPr>
                    <w:spacing w:before="2" w:after="2"/>
                    <w:rPr>
                      <w:lang w:val="el-G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86992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act_address_icon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86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133291" w:rsidRPr="005267A5" w:rsidRDefault="00133291" w:rsidP="00271EA4">
                  <w:pPr>
                    <w:spacing w:before="2" w:after="2"/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</w:pP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Καλαποθ</w:t>
                  </w:r>
                  <w:r w:rsidRPr="007A74F5">
                    <w:rPr>
                      <w:rFonts w:ascii="Century Gothic" w:eastAsia="MS Mincho" w:hAnsi="Century Gothic" w:cs="Times New Roman"/>
                      <w:sz w:val="20"/>
                      <w:szCs w:val="20"/>
                      <w:lang w:val="el-GR"/>
                    </w:rPr>
                    <w:t>ά</w:t>
                  </w: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κη</w:t>
                  </w: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 xml:space="preserve"> 20, 54624, </w:t>
                  </w: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Θεσσαλον</w:t>
                  </w:r>
                  <w:r w:rsidRPr="007A74F5">
                    <w:rPr>
                      <w:rFonts w:ascii="Century Gothic" w:eastAsia="MS Mincho" w:hAnsi="Century Gothic" w:cs="Times New Roman"/>
                      <w:sz w:val="20"/>
                      <w:szCs w:val="20"/>
                      <w:lang w:val="el-GR"/>
                    </w:rPr>
                    <w:t>ί</w:t>
                  </w: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κη</w:t>
                  </w:r>
                </w:p>
              </w:tc>
            </w:tr>
            <w:tr w:rsidR="00133291">
              <w:tc>
                <w:tcPr>
                  <w:tcW w:w="719" w:type="dxa"/>
                </w:tcPr>
                <w:p w:rsidR="00133291" w:rsidRDefault="00133291" w:rsidP="00271EA4">
                  <w:pPr>
                    <w:spacing w:before="2" w:after="2"/>
                    <w:rPr>
                      <w:lang w:val="el-G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314325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-mail-ic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133291" w:rsidRPr="005267A5" w:rsidRDefault="00133291" w:rsidP="00271EA4">
                  <w:pPr>
                    <w:spacing w:before="2" w:after="2"/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</w:pP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ΤΘ</w:t>
                  </w: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 xml:space="preserve"> 12100, </w:t>
                  </w: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ΤΚ</w:t>
                  </w: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 xml:space="preserve"> 54110, </w:t>
                  </w: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Θεσσαλον</w:t>
                  </w:r>
                  <w:r w:rsidRPr="007A74F5">
                    <w:rPr>
                      <w:rFonts w:ascii="Century Gothic" w:eastAsia="MS Mincho" w:hAnsi="Century Gothic" w:cs="Times New Roman"/>
                      <w:sz w:val="20"/>
                      <w:szCs w:val="20"/>
                      <w:lang w:val="el-GR"/>
                    </w:rPr>
                    <w:t>ί</w:t>
                  </w:r>
                  <w:r w:rsidRPr="007A74F5">
                    <w:rPr>
                      <w:rFonts w:ascii="Century Gothic" w:eastAsia="Adobe Myungjo Std M" w:hAnsi="Century Gothic" w:cs="Times New Roman"/>
                      <w:sz w:val="20"/>
                      <w:szCs w:val="20"/>
                      <w:lang w:val="el-GR"/>
                    </w:rPr>
                    <w:t>κη</w:t>
                  </w:r>
                </w:p>
              </w:tc>
            </w:tr>
            <w:tr w:rsidR="00133291">
              <w:tc>
                <w:tcPr>
                  <w:tcW w:w="719" w:type="dxa"/>
                </w:tcPr>
                <w:p w:rsidR="00133291" w:rsidRDefault="00133291" w:rsidP="00271EA4">
                  <w:pPr>
                    <w:spacing w:before="2" w:after="2"/>
                    <w:rPr>
                      <w:lang w:val="el-G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762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ne-9-xxl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133291" w:rsidRPr="005267A5" w:rsidRDefault="00133291" w:rsidP="00271EA4">
                  <w:pPr>
                    <w:spacing w:before="2" w:after="2"/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</w:pP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>231 55 00 33 9</w:t>
                  </w:r>
                </w:p>
              </w:tc>
            </w:tr>
            <w:tr w:rsidR="00133291">
              <w:tc>
                <w:tcPr>
                  <w:tcW w:w="719" w:type="dxa"/>
                </w:tcPr>
                <w:p w:rsidR="00133291" w:rsidRDefault="00133291" w:rsidP="00271EA4">
                  <w:pPr>
                    <w:spacing w:before="2" w:after="2"/>
                    <w:rPr>
                      <w:lang w:val="el-G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78286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bile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78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133291" w:rsidRPr="005267A5" w:rsidRDefault="00133291" w:rsidP="00271EA4">
                  <w:pPr>
                    <w:spacing w:before="2" w:after="2"/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</w:pP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>69 30 10 7 600</w:t>
                  </w:r>
                </w:p>
              </w:tc>
            </w:tr>
            <w:tr w:rsidR="00133291">
              <w:tc>
                <w:tcPr>
                  <w:tcW w:w="719" w:type="dxa"/>
                </w:tcPr>
                <w:p w:rsidR="00133291" w:rsidRDefault="00133291" w:rsidP="00271EA4">
                  <w:pPr>
                    <w:spacing w:before="2" w:after="2"/>
                    <w:rPr>
                      <w:lang w:val="el-G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rl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133291" w:rsidRPr="005267A5" w:rsidRDefault="00133291" w:rsidP="00271EA4">
                  <w:pPr>
                    <w:spacing w:before="2" w:after="2"/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</w:pP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</w:rPr>
                    <w:t>info</w:t>
                  </w: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>@</w:t>
                  </w:r>
                  <w:proofErr w:type="spellStart"/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</w:rPr>
                    <w:t>aaaa</w:t>
                  </w:r>
                  <w:proofErr w:type="spellEnd"/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>.</w:t>
                  </w: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</w:rPr>
                    <w:t>gr</w:t>
                  </w:r>
                </w:p>
              </w:tc>
            </w:tr>
            <w:tr w:rsidR="00133291">
              <w:tc>
                <w:tcPr>
                  <w:tcW w:w="719" w:type="dxa"/>
                </w:tcPr>
                <w:p w:rsidR="00133291" w:rsidRDefault="00133291" w:rsidP="00271EA4">
                  <w:pPr>
                    <w:spacing w:before="2" w:after="2"/>
                    <w:rPr>
                      <w:lang w:val="el-G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itor_vista copy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575" cy="28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0" w:type="dxa"/>
                  <w:vAlign w:val="center"/>
                </w:tcPr>
                <w:p w:rsidR="00133291" w:rsidRPr="005267A5" w:rsidRDefault="00133291" w:rsidP="00271EA4">
                  <w:pPr>
                    <w:spacing w:before="2" w:after="2"/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</w:pP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</w:rPr>
                    <w:t>www</w:t>
                  </w: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>.</w:t>
                  </w:r>
                  <w:proofErr w:type="spellStart"/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</w:rPr>
                    <w:t>aaaa</w:t>
                  </w:r>
                  <w:proofErr w:type="spellEnd"/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  <w:lang w:val="el-GR"/>
                    </w:rPr>
                    <w:t>.</w:t>
                  </w:r>
                  <w:r w:rsidRPr="005267A5">
                    <w:rPr>
                      <w:rFonts w:ascii="Century Gothic" w:eastAsia="Adobe Myungjo Std M" w:hAnsi="Century Gothic" w:cstheme="majorHAnsi"/>
                      <w:sz w:val="20"/>
                      <w:szCs w:val="20"/>
                    </w:rPr>
                    <w:t>gr</w:t>
                  </w:r>
                </w:p>
              </w:tc>
            </w:tr>
          </w:tbl>
          <w:p w:rsidR="00133291" w:rsidRDefault="00133291" w:rsidP="00271EA4">
            <w:pPr>
              <w:spacing w:before="2" w:after="2"/>
            </w:pPr>
          </w:p>
          <w:p w:rsidR="00133291" w:rsidRPr="0028097E" w:rsidRDefault="00133291" w:rsidP="00271EA4">
            <w:pPr>
              <w:spacing w:before="2" w:after="2"/>
              <w:rPr>
                <w:lang w:val="el-GR"/>
              </w:rPr>
            </w:pPr>
          </w:p>
        </w:tc>
      </w:tr>
    </w:tbl>
    <w:p w:rsidR="00133291" w:rsidRDefault="00133291" w:rsidP="00133291">
      <w:pPr>
        <w:jc w:val="center"/>
        <w:rPr>
          <w:rFonts w:ascii="Times" w:hAnsi="Times"/>
          <w:b/>
          <w:sz w:val="28"/>
          <w:szCs w:val="20"/>
          <w:lang w:val="el-GR"/>
        </w:rPr>
      </w:pPr>
    </w:p>
    <w:p w:rsidR="00133291" w:rsidRPr="006F1A29" w:rsidRDefault="00133291" w:rsidP="00133291">
      <w:pPr>
        <w:jc w:val="center"/>
        <w:rPr>
          <w:rFonts w:ascii="Century Gothic" w:hAnsi="Century Gothic"/>
          <w:b/>
          <w:sz w:val="28"/>
          <w:szCs w:val="20"/>
          <w:lang w:val="el-GR"/>
        </w:rPr>
      </w:pPr>
      <w:r w:rsidRPr="006F1A29">
        <w:rPr>
          <w:rFonts w:ascii="Century Gothic" w:hAnsi="Century Gothic"/>
          <w:b/>
          <w:sz w:val="28"/>
          <w:szCs w:val="20"/>
          <w:lang w:val="el-GR"/>
        </w:rPr>
        <w:t>ΔΕΛΤΙΟ ΤΥΠΟΥ</w:t>
      </w:r>
      <w:r w:rsidR="00E9323C" w:rsidRPr="006F1A29">
        <w:rPr>
          <w:rFonts w:ascii="Century Gothic" w:hAnsi="Century Gothic"/>
          <w:b/>
          <w:sz w:val="28"/>
          <w:szCs w:val="20"/>
          <w:lang w:val="el-GR"/>
        </w:rPr>
        <w:t xml:space="preserve"> – 30</w:t>
      </w:r>
      <w:r w:rsidR="00383233" w:rsidRPr="006F1A29">
        <w:rPr>
          <w:rFonts w:ascii="Century Gothic" w:hAnsi="Century Gothic"/>
          <w:b/>
          <w:sz w:val="28"/>
          <w:szCs w:val="20"/>
          <w:lang w:val="el-GR"/>
        </w:rPr>
        <w:t>/11/2013</w:t>
      </w:r>
    </w:p>
    <w:p w:rsidR="00133291" w:rsidRPr="006F1A29" w:rsidRDefault="00133291" w:rsidP="00133291">
      <w:pPr>
        <w:jc w:val="center"/>
        <w:rPr>
          <w:rFonts w:ascii="Century Gothic" w:hAnsi="Century Gothic"/>
          <w:b/>
          <w:sz w:val="28"/>
          <w:szCs w:val="20"/>
          <w:lang w:val="el-GR"/>
        </w:rPr>
      </w:pPr>
      <w:bookmarkStart w:id="0" w:name="_GoBack"/>
      <w:bookmarkEnd w:id="0"/>
    </w:p>
    <w:p w:rsidR="00401FED" w:rsidRDefault="00E9323C" w:rsidP="00E9323C">
      <w:pPr>
        <w:ind w:left="1620" w:hanging="1620"/>
        <w:jc w:val="both"/>
        <w:rPr>
          <w:rFonts w:ascii="Century Gothic" w:hAnsi="Century Gothic"/>
          <w:b/>
          <w:sz w:val="20"/>
          <w:szCs w:val="20"/>
          <w:lang w:val="el-GR"/>
        </w:rPr>
      </w:pPr>
      <w:r w:rsidRPr="006F1A29">
        <w:rPr>
          <w:rFonts w:ascii="Century Gothic" w:hAnsi="Century Gothic"/>
          <w:b/>
          <w:sz w:val="20"/>
          <w:szCs w:val="20"/>
          <w:lang w:val="el-GR"/>
        </w:rPr>
        <w:t>ΘΕΜΑ</w:t>
      </w:r>
      <w:r w:rsidR="00401FED" w:rsidRPr="006F1A29">
        <w:rPr>
          <w:rFonts w:ascii="Century Gothic" w:hAnsi="Century Gothic"/>
          <w:b/>
          <w:sz w:val="20"/>
          <w:szCs w:val="20"/>
          <w:lang w:val="el-GR"/>
        </w:rPr>
        <w:t xml:space="preserve">: </w:t>
      </w:r>
      <w:r w:rsidRPr="006F1A29">
        <w:rPr>
          <w:rFonts w:ascii="Century Gothic" w:hAnsi="Century Gothic"/>
          <w:b/>
          <w:sz w:val="20"/>
          <w:szCs w:val="20"/>
          <w:lang w:val="el-GR"/>
        </w:rPr>
        <w:t>Η ΑΝΑΔΕΙΞΗ ΜΑΘΗΤΩΝ ΓΥΜΝΑΣΙΩΝ ΚΑΙ ΛΥΚΕΙΩΝ ΤΗΣ ΝΑΟΥΣΑΣ</w:t>
      </w:r>
    </w:p>
    <w:p w:rsidR="006F1A29" w:rsidRPr="006F1A29" w:rsidRDefault="006F1A29" w:rsidP="00E9323C">
      <w:pPr>
        <w:ind w:left="1620" w:hanging="1620"/>
        <w:jc w:val="both"/>
        <w:rPr>
          <w:rFonts w:ascii="Century Gothic" w:hAnsi="Century Gothic"/>
          <w:sz w:val="20"/>
          <w:szCs w:val="20"/>
          <w:lang w:val="el-GR"/>
        </w:rPr>
      </w:pPr>
    </w:p>
    <w:p w:rsidR="00E9323C" w:rsidRPr="006F1A29" w:rsidRDefault="00E9323C" w:rsidP="00E9323C">
      <w:pPr>
        <w:pStyle w:val="NormalWeb"/>
        <w:spacing w:before="2" w:after="2"/>
        <w:jc w:val="both"/>
        <w:rPr>
          <w:rFonts w:ascii="Century Gothic" w:hAnsi="Century Gothic"/>
          <w:lang w:val="el-GR"/>
        </w:rPr>
      </w:pPr>
      <w:r w:rsidRPr="006F1A29">
        <w:rPr>
          <w:rFonts w:ascii="Century Gothic" w:hAnsi="Century Gothic"/>
          <w:lang w:val="el-GR"/>
        </w:rPr>
        <w:t xml:space="preserve">Η </w:t>
      </w:r>
      <w:r w:rsidRPr="006F1A29">
        <w:rPr>
          <w:rFonts w:ascii="Century Gothic" w:hAnsi="Century Gothic"/>
          <w:lang w:val="el-GR"/>
        </w:rPr>
        <w:t>‘</w:t>
      </w:r>
      <w:r w:rsidRPr="006F1A29">
        <w:rPr>
          <w:rStyle w:val="Strong"/>
          <w:rFonts w:ascii="Century Gothic" w:hAnsi="Century Gothic"/>
          <w:lang w:val="el-GR"/>
        </w:rPr>
        <w:t>Ανάδειξη, Ακαδημία Ανώτερης Αξιολόγησης</w:t>
      </w:r>
      <w:r w:rsidRPr="006F1A29">
        <w:rPr>
          <w:rStyle w:val="Strong"/>
          <w:rFonts w:ascii="Century Gothic" w:hAnsi="Century Gothic"/>
          <w:lang w:val="el-GR"/>
        </w:rPr>
        <w:t>’</w:t>
      </w:r>
      <w:r w:rsidRPr="006F1A29">
        <w:rPr>
          <w:rFonts w:ascii="Century Gothic" w:hAnsi="Century Gothic"/>
          <w:lang w:val="el-GR"/>
        </w:rPr>
        <w:t xml:space="preserve"> σε συνεργασία με τη Σχολή </w:t>
      </w:r>
      <w:r w:rsidR="00EE3682">
        <w:rPr>
          <w:rFonts w:ascii="Century Gothic" w:hAnsi="Century Gothic"/>
          <w:lang w:val="el-GR"/>
        </w:rPr>
        <w:t>Β</w:t>
      </w:r>
      <w:r w:rsidRPr="006F1A29">
        <w:rPr>
          <w:rFonts w:ascii="Century Gothic" w:hAnsi="Century Gothic"/>
          <w:lang w:val="el-GR"/>
        </w:rPr>
        <w:t xml:space="preserve">υζαντινής </w:t>
      </w:r>
      <w:r w:rsidR="00EE3682">
        <w:rPr>
          <w:rFonts w:ascii="Century Gothic" w:hAnsi="Century Gothic"/>
          <w:lang w:val="el-GR"/>
        </w:rPr>
        <w:t>Μ</w:t>
      </w:r>
      <w:r w:rsidRPr="006F1A29">
        <w:rPr>
          <w:rFonts w:ascii="Century Gothic" w:hAnsi="Century Gothic"/>
          <w:lang w:val="el-GR"/>
        </w:rPr>
        <w:t>ουσικής της Ιερ</w:t>
      </w:r>
      <w:r w:rsidR="003B7069">
        <w:rPr>
          <w:rFonts w:ascii="Century Gothic" w:hAnsi="Century Gothic"/>
          <w:lang w:val="el-GR"/>
        </w:rPr>
        <w:t>ά</w:t>
      </w:r>
      <w:r w:rsidRPr="006F1A29">
        <w:rPr>
          <w:rFonts w:ascii="Century Gothic" w:hAnsi="Century Gothic"/>
          <w:lang w:val="el-GR"/>
        </w:rPr>
        <w:t xml:space="preserve">ς Μητροπόλεως Βέροιας, Νάουσας και Καμπανίας </w:t>
      </w:r>
      <w:r w:rsidRPr="006F1A29">
        <w:rPr>
          <w:rFonts w:ascii="Century Gothic" w:hAnsi="Century Gothic"/>
          <w:lang w:val="el-GR"/>
        </w:rPr>
        <w:t>‘</w:t>
      </w:r>
      <w:r w:rsidRPr="006F1A29">
        <w:rPr>
          <w:rStyle w:val="Strong"/>
          <w:rFonts w:ascii="Century Gothic" w:hAnsi="Century Gothic"/>
          <w:lang w:val="el-GR"/>
        </w:rPr>
        <w:t>Κοσμάς Μαδυτινός</w:t>
      </w:r>
      <w:r w:rsidRPr="006F1A29">
        <w:rPr>
          <w:rStyle w:val="Strong"/>
          <w:rFonts w:ascii="Century Gothic" w:hAnsi="Century Gothic"/>
          <w:lang w:val="el-GR"/>
        </w:rPr>
        <w:t>’</w:t>
      </w:r>
      <w:r w:rsidRPr="006F1A29">
        <w:rPr>
          <w:rFonts w:ascii="Century Gothic" w:hAnsi="Century Gothic"/>
          <w:lang w:val="el-GR"/>
        </w:rPr>
        <w:t xml:space="preserve"> διοργάνωσε μια ημερίδα για νέους των τοπικών Γυμνασίων και Λυκείων της Νάουσας στις 27/11/2013, 11:30 στο Πνευματικό Κέντρο του Ι.Ν. Αγίου Μηνά Νάουσας.</w:t>
      </w:r>
    </w:p>
    <w:p w:rsidR="00E9323C" w:rsidRPr="006F1A29" w:rsidRDefault="00E9323C" w:rsidP="00E9323C">
      <w:pPr>
        <w:pStyle w:val="NormalWeb"/>
        <w:spacing w:before="2" w:after="2"/>
        <w:jc w:val="both"/>
        <w:rPr>
          <w:rFonts w:ascii="Century Gothic" w:hAnsi="Century Gothic"/>
          <w:lang w:val="el-GR"/>
        </w:rPr>
      </w:pPr>
    </w:p>
    <w:p w:rsidR="00E9323C" w:rsidRPr="006F1A29" w:rsidRDefault="00E9323C" w:rsidP="00E9323C">
      <w:pPr>
        <w:pStyle w:val="NormalWeb"/>
        <w:spacing w:before="2" w:after="2"/>
        <w:jc w:val="both"/>
        <w:rPr>
          <w:rFonts w:ascii="Century Gothic" w:hAnsi="Century Gothic"/>
          <w:lang w:val="en-US"/>
        </w:rPr>
      </w:pPr>
      <w:r w:rsidRPr="006F1A29">
        <w:rPr>
          <w:rFonts w:ascii="Century Gothic" w:hAnsi="Century Gothic"/>
          <w:lang w:val="el-GR"/>
        </w:rPr>
        <w:t xml:space="preserve">Στην εκδήλωση συμμετείχαν </w:t>
      </w:r>
      <w:r w:rsidRPr="006F1A29">
        <w:rPr>
          <w:rStyle w:val="Strong"/>
          <w:rFonts w:ascii="Century Gothic" w:hAnsi="Century Gothic"/>
          <w:lang w:val="el-GR"/>
        </w:rPr>
        <w:t>μαθητές και καθηγητές</w:t>
      </w:r>
      <w:r w:rsidRPr="006F1A29">
        <w:rPr>
          <w:rStyle w:val="Strong"/>
          <w:rFonts w:ascii="Century Gothic" w:hAnsi="Century Gothic"/>
          <w:lang w:val="el-GR"/>
        </w:rPr>
        <w:t xml:space="preserve"> Γυμνασίων και Λυκείων της Νάουσας</w:t>
      </w:r>
      <w:r w:rsidRPr="006F1A29">
        <w:rPr>
          <w:rFonts w:ascii="Century Gothic" w:hAnsi="Century Gothic"/>
          <w:lang w:val="el-GR"/>
        </w:rPr>
        <w:t>, όπως και τοπικοί παράγοντες. Κατά την διάρκεια της εκδήλωσης παρουσιάστηκαν οι σκοποί, η λειτουργία και η δομή της Ανάδειξης, συζητήθηκαν σχέδια και προτάσεις για περαιτέρω ευόδωση των στόχων της Ακαδημίας και διενεργήθηκε μια ενδεικτική δοκιμασία νοημοσύνης με συμμετέχοντες όλους τους παρευρισκομένους.</w:t>
      </w:r>
    </w:p>
    <w:p w:rsidR="00E9323C" w:rsidRPr="006F1A29" w:rsidRDefault="00E9323C" w:rsidP="00E9323C">
      <w:pPr>
        <w:pStyle w:val="NormalWeb"/>
        <w:spacing w:before="2" w:after="2"/>
        <w:jc w:val="both"/>
        <w:rPr>
          <w:rFonts w:ascii="Century Gothic" w:hAnsi="Century Gothic"/>
          <w:lang w:val="en-US"/>
        </w:rPr>
      </w:pPr>
    </w:p>
    <w:p w:rsidR="00E9323C" w:rsidRPr="006F1A29" w:rsidRDefault="00E9323C" w:rsidP="00E9323C">
      <w:pPr>
        <w:pStyle w:val="NormalWeb"/>
        <w:spacing w:before="2" w:after="2"/>
        <w:jc w:val="both"/>
        <w:rPr>
          <w:rFonts w:ascii="Century Gothic" w:hAnsi="Century Gothic"/>
          <w:lang w:val="el-GR"/>
        </w:rPr>
      </w:pPr>
      <w:r w:rsidRPr="006F1A29">
        <w:rPr>
          <w:rFonts w:ascii="Century Gothic" w:hAnsi="Century Gothic"/>
          <w:lang w:val="el-GR"/>
        </w:rPr>
        <w:t>Για την συγκεκριμένη εκδήλωση, ο Πρόεδρος της Ανάδειξης, Ευάγγελος Κατσιούλης τονίζει:</w:t>
      </w:r>
      <w:r w:rsidR="006F1A29">
        <w:rPr>
          <w:rFonts w:ascii="Century Gothic" w:hAnsi="Century Gothic"/>
          <w:lang w:val="el-GR"/>
        </w:rPr>
        <w:t xml:space="preserve"> </w:t>
      </w:r>
      <w:r w:rsidRPr="006F1A29">
        <w:rPr>
          <w:rStyle w:val="Emphasis"/>
          <w:rFonts w:ascii="Century Gothic" w:hAnsi="Century Gothic"/>
          <w:lang w:val="el-GR"/>
        </w:rPr>
        <w:t>“Με μεγάλη χαρά αποδεχθήκαμε την πρόσκληση της Σχολής Βυζαντινής Μουσικής “Κοσμάς Μαδυτινός” και συμμετείχαμε στις εκδηλώσεις της στην πόλη της Νάουσας. Η άμεση επαφή με τη νεολαία της πόλης, η διαδραστική συζήτηση για τα σχέδια και τους στόχους των νέων και το θετικό κλίμα της εκδήλωσης ενισχύουν τους αγώνες μας για την ανάπτυξη των λειτουργιών της Ακαδημίας, η οποία συνεχίζει να είναι η πρώτη και μοναδική Ελληνική Ακαδημία εκπαίδευσης και ψυχολογικής υποστήριξης των νέων σε εξατομικευμένο επίπεδο με βάση τις ικανότητες και τις ανάγκες τους.”</w:t>
      </w:r>
    </w:p>
    <w:p w:rsidR="00E9323C" w:rsidRPr="006F1A29" w:rsidRDefault="00E9323C" w:rsidP="00E9323C">
      <w:pPr>
        <w:rPr>
          <w:rFonts w:ascii="Century Gothic" w:hAnsi="Century Gothic"/>
          <w:sz w:val="20"/>
          <w:szCs w:val="20"/>
          <w:lang w:val="el-GR"/>
        </w:rPr>
      </w:pPr>
    </w:p>
    <w:p w:rsidR="00E9323C" w:rsidRPr="006F1A29" w:rsidRDefault="00E9323C" w:rsidP="00E9323C">
      <w:pPr>
        <w:rPr>
          <w:rFonts w:ascii="Century Gothic" w:hAnsi="Century Gothic"/>
          <w:sz w:val="20"/>
          <w:szCs w:val="20"/>
          <w:lang w:val="el-GR"/>
        </w:rPr>
      </w:pPr>
      <w:r w:rsidRPr="006F1A29">
        <w:rPr>
          <w:rFonts w:ascii="Century Gothic" w:hAnsi="Century Gothic"/>
          <w:sz w:val="20"/>
          <w:szCs w:val="20"/>
          <w:lang w:val="el-GR"/>
        </w:rPr>
        <w:t>Γραφείο Τύπου, ΑΝΑΔΕΙΞΗ</w:t>
      </w:r>
    </w:p>
    <w:p w:rsidR="00E9323C" w:rsidRPr="006F1A29" w:rsidRDefault="00E9323C" w:rsidP="00401FED">
      <w:pPr>
        <w:rPr>
          <w:rFonts w:ascii="Century Gothic" w:hAnsi="Century Gothic"/>
          <w:sz w:val="20"/>
          <w:szCs w:val="20"/>
          <w:lang w:val="el-GR"/>
        </w:rPr>
      </w:pPr>
    </w:p>
    <w:tbl>
      <w:tblPr>
        <w:tblStyle w:val="TableGrid"/>
        <w:tblW w:w="85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9323C" w:rsidRPr="006F1A29" w:rsidTr="006F1A29">
        <w:tc>
          <w:tcPr>
            <w:tcW w:w="8516" w:type="dxa"/>
            <w:shd w:val="pct10" w:color="auto" w:fill="auto"/>
          </w:tcPr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>Ηλεκτρονική διεύθυνση Δελτίου Τύπου:</w:t>
            </w:r>
          </w:p>
        </w:tc>
      </w:tr>
      <w:tr w:rsidR="00E9323C" w:rsidRPr="006F1A29" w:rsidTr="006F1A29">
        <w:tc>
          <w:tcPr>
            <w:tcW w:w="8516" w:type="dxa"/>
          </w:tcPr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>http://www.aaaa.gr/docs/press/AAAA.GR_2013_11_30_DT_Naousa.pdf</w:t>
            </w:r>
          </w:p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9323C" w:rsidRPr="006F1A29" w:rsidTr="006F1A29">
        <w:tc>
          <w:tcPr>
            <w:tcW w:w="8516" w:type="dxa"/>
            <w:shd w:val="pct10" w:color="auto" w:fill="auto"/>
          </w:tcPr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 xml:space="preserve">Ηλεκτρονική διεύθυνση ανακοίνωσης: </w:t>
            </w:r>
          </w:p>
        </w:tc>
      </w:tr>
      <w:tr w:rsidR="00E9323C" w:rsidRPr="006F1A29" w:rsidTr="006F1A29">
        <w:tc>
          <w:tcPr>
            <w:tcW w:w="8516" w:type="dxa"/>
          </w:tcPr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6F1A29">
              <w:rPr>
                <w:rFonts w:ascii="Century Gothic" w:hAnsi="Century Gothic"/>
                <w:sz w:val="18"/>
                <w:szCs w:val="18"/>
                <w:lang w:val="en-GB"/>
              </w:rPr>
              <w:t>http</w:t>
            </w:r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>://</w:t>
            </w:r>
            <w:r w:rsidRPr="006F1A29">
              <w:rPr>
                <w:rFonts w:ascii="Century Gothic" w:hAnsi="Century Gothic"/>
                <w:sz w:val="18"/>
                <w:szCs w:val="18"/>
                <w:lang w:val="en-GB"/>
              </w:rPr>
              <w:t>www</w:t>
            </w:r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  <w:proofErr w:type="spellStart"/>
            <w:r w:rsidRPr="006F1A29">
              <w:rPr>
                <w:rFonts w:ascii="Century Gothic" w:hAnsi="Century Gothic"/>
                <w:sz w:val="18"/>
                <w:szCs w:val="18"/>
                <w:lang w:val="en-GB"/>
              </w:rPr>
              <w:t>aaaa</w:t>
            </w:r>
            <w:proofErr w:type="spellEnd"/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  <w:r w:rsidRPr="006F1A29">
              <w:rPr>
                <w:rFonts w:ascii="Century Gothic" w:hAnsi="Century Gothic"/>
                <w:sz w:val="18"/>
                <w:szCs w:val="18"/>
                <w:lang w:val="en-GB"/>
              </w:rPr>
              <w:t>gr</w:t>
            </w:r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>/</w:t>
            </w:r>
            <w:r w:rsidRPr="006F1A29">
              <w:rPr>
                <w:rFonts w:ascii="Century Gothic" w:hAnsi="Century Gothic"/>
                <w:sz w:val="18"/>
                <w:szCs w:val="18"/>
                <w:lang w:val="el-GR"/>
              </w:rPr>
              <w:t>δράση/εκδηλώσεις-ανάδειξης/27112013-Ενημερωτική-ημερίδα-στη-Νάουσα</w:t>
            </w:r>
          </w:p>
          <w:p w:rsidR="00E9323C" w:rsidRPr="006F1A29" w:rsidRDefault="00E9323C" w:rsidP="006F1A29">
            <w:pPr>
              <w:ind w:hanging="108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</w:tbl>
    <w:p w:rsidR="0095213A" w:rsidRPr="00E9323C" w:rsidRDefault="0095213A" w:rsidP="00401FED">
      <w:pPr>
        <w:rPr>
          <w:rFonts w:ascii="Times" w:hAnsi="Times"/>
          <w:sz w:val="20"/>
          <w:szCs w:val="20"/>
          <w:lang w:val="el-GR"/>
        </w:rPr>
      </w:pPr>
    </w:p>
    <w:sectPr w:rsidR="0095213A" w:rsidRPr="00E9323C" w:rsidSect="00E9323C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D"/>
    <w:rsid w:val="00133291"/>
    <w:rsid w:val="002123CA"/>
    <w:rsid w:val="00383233"/>
    <w:rsid w:val="003B7069"/>
    <w:rsid w:val="00401FED"/>
    <w:rsid w:val="006F1A29"/>
    <w:rsid w:val="007806CD"/>
    <w:rsid w:val="007A74F5"/>
    <w:rsid w:val="008C3F35"/>
    <w:rsid w:val="0095213A"/>
    <w:rsid w:val="00CA01DC"/>
    <w:rsid w:val="00CD47FD"/>
    <w:rsid w:val="00DF4A3E"/>
    <w:rsid w:val="00E526CB"/>
    <w:rsid w:val="00E9323C"/>
    <w:rsid w:val="00EE3682"/>
    <w:rsid w:val="00F37620"/>
    <w:rsid w:val="00FA1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1FED"/>
    <w:rPr>
      <w:color w:val="0000D4"/>
      <w:u w:val="single"/>
    </w:rPr>
  </w:style>
  <w:style w:type="paragraph" w:styleId="NormalWeb">
    <w:name w:val="Normal (Web)"/>
    <w:basedOn w:val="Normal"/>
    <w:uiPriority w:val="99"/>
    <w:rsid w:val="00401FE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01FED"/>
    <w:rPr>
      <w:b/>
    </w:rPr>
  </w:style>
  <w:style w:type="table" w:styleId="TableGrid">
    <w:name w:val="Table Grid"/>
    <w:basedOn w:val="TableNormal"/>
    <w:uiPriority w:val="59"/>
    <w:rsid w:val="001332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3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1FED"/>
    <w:rPr>
      <w:color w:val="0000D4"/>
      <w:u w:val="single"/>
    </w:rPr>
  </w:style>
  <w:style w:type="paragraph" w:styleId="NormalWeb">
    <w:name w:val="Normal (Web)"/>
    <w:basedOn w:val="Normal"/>
    <w:uiPriority w:val="99"/>
    <w:rsid w:val="00401FE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01FED"/>
    <w:rPr>
      <w:b/>
    </w:rPr>
  </w:style>
  <w:style w:type="table" w:styleId="TableGrid">
    <w:name w:val="Table Grid"/>
    <w:basedOn w:val="TableNormal"/>
    <w:uiPriority w:val="59"/>
    <w:rsid w:val="001332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3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cp:lastModifiedBy>Unknown User</cp:lastModifiedBy>
  <cp:revision>2</cp:revision>
  <cp:lastPrinted>2013-12-01T04:12:00Z</cp:lastPrinted>
  <dcterms:created xsi:type="dcterms:W3CDTF">2013-12-01T04:14:00Z</dcterms:created>
  <dcterms:modified xsi:type="dcterms:W3CDTF">2013-12-01T04:14:00Z</dcterms:modified>
</cp:coreProperties>
</file>